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rFonts w:hint="eastAsia"/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9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岳阳市生态环境局岳阳楼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分局</w:t>
      </w:r>
      <w:r>
        <w:rPr>
          <w:rFonts w:hint="eastAsia"/>
          <w:sz w:val="84"/>
          <w:szCs w:val="84"/>
        </w:rPr>
        <w:t>部门决算</w:t>
      </w: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spacing w:line="540" w:lineRule="exact"/>
        <w:jc w:val="center"/>
        <w:rPr>
          <w:sz w:val="56"/>
          <w:szCs w:val="56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9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  <w:lang w:eastAsia="zh-CN"/>
        </w:rPr>
        <w:t>岳阳市生态环境局岳阳楼分局</w:t>
      </w:r>
      <w:r>
        <w:rPr>
          <w:rFonts w:hint="eastAsia"/>
          <w:b/>
          <w:sz w:val="28"/>
          <w:szCs w:val="28"/>
        </w:rPr>
        <w:t>概况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default" w:cs="仿宋_GB2312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及决算单位构成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cs="仿宋_GB2312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国有资本经营预算财政拨款支出决算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</w:pPr>
      <w:r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岳阳市生态环境局岳阳楼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分局</w:t>
      </w:r>
      <w:r>
        <w:rPr>
          <w:rFonts w:hint="eastAsia"/>
          <w:sz w:val="84"/>
          <w:szCs w:val="84"/>
        </w:rPr>
        <w:t>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0"/>
        <w:ind w:left="0" w:leftChars="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负责辖区内环境规划、环境管理、环境宣传教育、环境监察等工作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，会同有关部门编制并监督实施重点区域、流域、饮用水水源地保护等生态环境规划和水、大气环境、声环境功能区划。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（2）负责岳阳楼区生态环境问题的统筹协调和监督管理。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（3）负责落实减排目标。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）负责环境污染防治的监督管理。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）指导协调和监督生态保护修复工作。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）负责核与辐射安全的监督管理。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）负责生态环境准入的监督管理。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）负责重点污染源监测工作。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）负责应对气候变化工作。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（1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）配合开展生态环境保护督察工作。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（1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）统一监督生态环境执法工作。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（1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）组织指导和协调生态环境宣传教育工作，贯彻实施生态环境保护宣传教育纲要，推动社会组织和公众参与生态环境保护。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（1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）完成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市生态环境局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、岳阳楼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/>
        </w:rPr>
        <w:t>区党委、政府</w:t>
      </w:r>
      <w:r>
        <w:rPr>
          <w:rFonts w:hint="eastAsia" w:ascii="仿宋" w:hAnsi="仿宋" w:eastAsia="仿宋" w:cs="仿宋_GB2312"/>
          <w:kern w:val="0"/>
          <w:sz w:val="32"/>
          <w:szCs w:val="32"/>
          <w:lang w:eastAsia="zh-CN"/>
        </w:rPr>
        <w:t>交办的其他事项。</w:t>
      </w: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（一）内设机构设置。岳阳市生态环境局岳阳楼分局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: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独立编制、核算机构数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1个,核定编制数为33人，现在实有编制人员26人，其中全额事业编制25人，工勤编制1人。有11人退休，为岳阳市生态环境局的派出机构。下设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机构包括：岳阳楼生态环境保护综合行政执法大队、办公室、法制股、行政审批股、大气污染防治股、土壤污染防治股、水污染防治股。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（二）决算单位构成。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岳阳市生态环境局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岳阳楼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分局2021年部门决算公开单位构成包括：岳阳市生态环境局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岳阳楼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分局无独立核算的二级机构，决算单位仅单位本级。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rPr>
          <w:rFonts w:asciiTheme="minorEastAsia" w:hAnsiTheme="minorEastAsia"/>
          <w:bCs/>
          <w:i/>
          <w:iCs/>
          <w:kern w:val="0"/>
          <w:sz w:val="32"/>
          <w:szCs w:val="32"/>
        </w:rPr>
      </w:pPr>
    </w:p>
    <w:p>
      <w:pPr>
        <w:jc w:val="both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ind w:firstLine="3600" w:firstLineChars="500"/>
        <w:jc w:val="both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9"/>
        <w:jc w:val="center"/>
        <w:rPr>
          <w:sz w:val="70"/>
          <w:szCs w:val="70"/>
        </w:rPr>
      </w:pPr>
    </w:p>
    <w:p>
      <w:pPr>
        <w:pStyle w:val="9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9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2021年度收、支总计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705.34</w:t>
      </w:r>
      <w:r>
        <w:rPr>
          <w:rFonts w:hint="eastAsia" w:asciiTheme="minorEastAsia" w:hAnsiTheme="minorEastAsia" w:eastAsiaTheme="minorEastAsia"/>
          <w:sz w:val="32"/>
          <w:szCs w:val="32"/>
        </w:rPr>
        <w:t>万元。与上年相比，增加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2.69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0.38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人员晋级晋档，工资支出略有上涨。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661.17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495.38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74.92</w:t>
      </w:r>
      <w:r>
        <w:rPr>
          <w:rFonts w:hint="eastAsia" w:asciiTheme="minorEastAsia" w:hAnsiTheme="minorEastAsia" w:eastAsiaTheme="minorEastAsia"/>
          <w:sz w:val="32"/>
          <w:szCs w:val="32"/>
        </w:rPr>
        <w:t>%；上级补助收入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%；附属单位上缴收入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165.8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25.08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705.34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568.16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80.55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137.18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19.45</w:t>
      </w:r>
      <w:r>
        <w:rPr>
          <w:rFonts w:hint="eastAsia" w:asciiTheme="minorEastAsia" w:hAnsiTheme="minorEastAsia" w:eastAsiaTheme="minorEastAsia"/>
          <w:sz w:val="32"/>
          <w:szCs w:val="32"/>
        </w:rPr>
        <w:t>%；上缴上级支出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%；对附属单位补助支出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2021年度财政拨款收、支总计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528.44</w:t>
      </w:r>
      <w:r>
        <w:rPr>
          <w:rFonts w:hint="eastAsia" w:asciiTheme="minorEastAsia" w:hAnsiTheme="minorEastAsia" w:eastAsiaTheme="minorEastAsia"/>
          <w:sz w:val="32"/>
          <w:szCs w:val="32"/>
        </w:rPr>
        <w:t>万元，与上年相比，增加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32.52</w:t>
      </w:r>
      <w:r>
        <w:rPr>
          <w:rFonts w:hint="eastAsia" w:asciiTheme="minorEastAsia" w:hAnsiTheme="minorEastAsia" w:eastAsiaTheme="minorEastAsia"/>
          <w:sz w:val="32"/>
          <w:szCs w:val="32"/>
        </w:rPr>
        <w:t>万元,增长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6.56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为人员经费增加。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528.44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74.92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65.78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14.22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为人员经费增加。</w:t>
      </w:r>
    </w:p>
    <w:p>
      <w:pPr>
        <w:pStyle w:val="9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528.44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一般公共服务（类）支出0万元，占0%；教育（类）支出0万元，占0%;社会保障和就业支出29.91万元，占5.66%;卫生健康支出12.53万元，占2.37%，节能环保支出452.94万元，占85.71%，其他支出33.06万元，占6.26%。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495.38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528.44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106.67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1、</w:t>
      </w:r>
      <w:r>
        <w:rPr>
          <w:rFonts w:hint="eastAsia" w:asciiTheme="minorEastAsia" w:hAnsiTheme="minorEastAsia" w:eastAsiaTheme="minorEastAsia"/>
          <w:sz w:val="32"/>
          <w:szCs w:val="32"/>
        </w:rPr>
        <w:t>一般公共服务（类）其他一般公共服务支出（款）支出（项）。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年初预算为0万元，支出决算为0万元，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由于年初预算数为0，无法计算百分比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2、</w:t>
      </w:r>
      <w:r>
        <w:rPr>
          <w:rFonts w:hint="eastAsia" w:asciiTheme="minorEastAsia" w:hAnsiTheme="minorEastAsia" w:eastAsiaTheme="minorEastAsia"/>
          <w:sz w:val="32"/>
          <w:szCs w:val="32"/>
        </w:rPr>
        <w:t>教育（类）基础研究支出（款）自然科学基金支出（项）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年初预算为0万元，支出决算为0万元，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由于年初预算数为0，无法计算百分比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3、社会保障和就业（类）行政事业养老支出（款）机关事业单位基本养老保险缴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费支出（项）年初预算为27.09万元，支出决算为27.09万元，完成年初预算的100%。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4、社会保障和就业（类）残疾人事业（款）其他残疾人事业支出（项）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年初预算为2.82万元，支出决算为2.82万元，完成年初预算的100%。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5、卫生健康（类）行政事业单位医疗（支出）行政单位医疗（项）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年初预算为12.53万元，支出决算为12.53万元，完成年初预算的100%。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6、节能环保（类）环境保护管理事务支出（款）行政运行（项）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年初预算为212.22万元，支出决算为212.22万元，完成年初预算的100%。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7、节能环保（类）环境保护管理事务支出（款）一般行政管理事务（项）</w:t>
      </w:r>
    </w:p>
    <w:p>
      <w:pPr>
        <w:pStyle w:val="9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年初预算为19.5万元，支出决算为19.5万元，完成年初预算的100%。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8、节能环保（类）环境监测与监察支出（款）其他环境监测与监察支出（项）年初预算为20万元，支出决算为20万元，完成年初预算的100%。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9、节能环保（类）自然生态保护支出（款）农村环境保护支出（项）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年初预算为20万元，支出决算为20万元，完成年初预算的100%。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10、节能环保（类）污染减排支出（款）生态环境执法监察支出（项）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年初预算为93.5万元，支出决算为93.5万元，完成年初预算的100%。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11、节能环保（类）其他节能环保支出（款）其他节能环保支出（项）</w:t>
      </w: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年初预算为87.72万元，支出决算为87.72万元，完成年初预算的100%。</w:t>
      </w:r>
    </w:p>
    <w:p>
      <w:pPr>
        <w:pStyle w:val="9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12、其他支出（类）其他支出（款）其他支出（项）年初预算为0万元，支出决算为33.06万元，由于年初预算数为0，无法计算百分比，决算数大于年初预算数的主要原因是：年初财政拨款结转结余资金列支。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391.27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328.09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83.85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%,主要包括主要包括基本工资、津贴补贴、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奖金、伙食补助费、绩效工资、机关事业单位基本养老保险缴费、职业年金缴费、职工基本医疗保险缴费、公务员医疗补助缴费、其他社会保障缴费、住房公积金、医疗费、其他工资福利支出、离休费、退休费、抚恤金、生活补助、医疗费补助、奖励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63.18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16.15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公务用车购置、其他交通工具购置、文物和陈列品购置、无形资产购置、其他资本性支出、赠与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4.49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29.93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因公出国（境）费支出预算为0万元，支出决算为0万元，由于预算数为0，无法计算完成百分比，主要原因为本年未安排因公出国（境）；与上年相比无变化，主要原因是未安排外事出访活动。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0.73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14.6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主要原因是从严控制“三公”经费支出，全年实际支出比预算有所节约。与上年相比增加0.73万元，增长100%,增长的主要原因是有开展正常公务接待活动。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公务用车购置费支出预算为0万元，支出决算为0万元，由于预算数为0，无法计算完成百分比，主要原因为本年未购置公务用车；与上年相比无变化，主要原因为两年均未购置公务用车。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3.76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37.6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原因是从严控制“三公”经费支出，全年实际支出比预算有所节约，与上年相比减少0.7万元，减少15.7%,减少的主要原因是秉承厉行节约，减少三公经费支出。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0.73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16.26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3.76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83.74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0万</w:t>
      </w:r>
      <w:r>
        <w:rPr>
          <w:rFonts w:hint="eastAsia" w:asciiTheme="minorEastAsia" w:hAnsiTheme="minorEastAsia" w:eastAsiaTheme="minorEastAsia"/>
          <w:sz w:val="32"/>
          <w:szCs w:val="32"/>
        </w:rPr>
        <w:t>元，全年安排因公出国（境）团组0个，累计0人次。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0.73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个、来宾人次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60人</w:t>
      </w:r>
      <w:r>
        <w:rPr>
          <w:rFonts w:hint="eastAsia" w:asciiTheme="minorEastAsia" w:hAnsiTheme="minorEastAsia" w:eastAsiaTheme="minorEastAsia"/>
          <w:sz w:val="32"/>
          <w:szCs w:val="32"/>
        </w:rPr>
        <w:t>，主要是主要是用于与有关单位工作交流及接受相关部门督察、检查及指导工作发生的接待支出。</w:t>
      </w:r>
    </w:p>
    <w:p>
      <w:pPr>
        <w:ind w:firstLine="800" w:firstLineChars="25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3.76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sz w:val="32"/>
          <w:szCs w:val="32"/>
          <w:lang w:eastAsia="zh-CN"/>
        </w:rPr>
        <w:t>，当年未购置公务用车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3.76</w:t>
      </w:r>
      <w:r>
        <w:rPr>
          <w:rFonts w:hint="eastAsia" w:asciiTheme="minorEastAsia" w:hAnsiTheme="minorEastAsia"/>
          <w:sz w:val="32"/>
          <w:szCs w:val="32"/>
        </w:rPr>
        <w:t>万元，主要是按规定保留的公务用车的燃料、维修费、洗车费、保险费、安全奖励费用等支出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Theme="minorEastAsia" w:hAnsiTheme="minorEastAsia"/>
          <w:sz w:val="32"/>
          <w:szCs w:val="32"/>
        </w:rPr>
        <w:t>截止2021年12月31日，我单位开支财政拨款的公务用车保有量为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9"/>
        <w:rPr>
          <w:rFonts w:hint="eastAsia"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年本单位没有使用政府性基金预算拨款安排的收支。</w:t>
      </w:r>
    </w:p>
    <w:p>
      <w:pPr>
        <w:pStyle w:val="9"/>
        <w:numPr>
          <w:ilvl w:val="0"/>
          <w:numId w:val="2"/>
        </w:numPr>
        <w:rPr>
          <w:rFonts w:hint="eastAsia" w:hAnsi="黑体"/>
          <w:b/>
          <w:sz w:val="32"/>
          <w:szCs w:val="32"/>
          <w:lang w:eastAsia="zh-CN"/>
        </w:rPr>
      </w:pPr>
      <w:r>
        <w:rPr>
          <w:rFonts w:hint="eastAsia" w:hAnsi="黑体"/>
          <w:b/>
          <w:sz w:val="32"/>
          <w:szCs w:val="32"/>
        </w:rPr>
        <w:t>国有资本经营预算财政拨款支出决算</w:t>
      </w:r>
      <w:r>
        <w:rPr>
          <w:rFonts w:hint="eastAsia" w:hAnsi="黑体"/>
          <w:b/>
          <w:sz w:val="32"/>
          <w:szCs w:val="32"/>
          <w:lang w:eastAsia="zh-CN"/>
        </w:rPr>
        <w:t>情况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年度本单位无国有资本经营预算财政拨款支出。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62.81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万元，比上年决算数减少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0.86</w:t>
      </w:r>
      <w:r>
        <w:rPr>
          <w:rFonts w:hint="eastAsia" w:asciiTheme="minorEastAsia" w:hAnsiTheme="minorEastAsia" w:eastAsiaTheme="minorEastAsia"/>
          <w:sz w:val="32"/>
          <w:szCs w:val="32"/>
        </w:rPr>
        <w:t>万元，降低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1.35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：从严控制经费支出，全年支出比上年有所压减，历行节约的宗旨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年本部门开支培训费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0.32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于参加省厅组织的各项业务培训</w:t>
      </w:r>
      <w:r>
        <w:rPr>
          <w:rFonts w:hint="eastAsia" w:asciiTheme="minorEastAsia" w:hAnsiTheme="minorEastAsia" w:eastAsiaTheme="minorEastAsia"/>
          <w:sz w:val="32"/>
          <w:szCs w:val="32"/>
        </w:rPr>
        <w:t>等，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人数10人次，</w:t>
      </w:r>
      <w:r>
        <w:rPr>
          <w:rFonts w:hint="eastAsia" w:asciiTheme="minorEastAsia" w:hAnsiTheme="minorEastAsia" w:eastAsiaTheme="minorEastAsia"/>
          <w:sz w:val="32"/>
          <w:szCs w:val="32"/>
        </w:rPr>
        <w:t>内容为培训资料费、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讲课费、</w:t>
      </w:r>
      <w:r>
        <w:rPr>
          <w:rFonts w:hint="eastAsia" w:asciiTheme="minorEastAsia" w:hAnsiTheme="minorEastAsia" w:eastAsiaTheme="minorEastAsia"/>
          <w:sz w:val="32"/>
          <w:szCs w:val="32"/>
        </w:rPr>
        <w:t>住宿费、交通费、伙食费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等</w:t>
      </w:r>
      <w:r>
        <w:rPr>
          <w:rFonts w:hint="eastAsia" w:asciiTheme="minorEastAsia" w:hAnsiTheme="minorEastAsia" w:eastAsiaTheme="minorEastAsia"/>
          <w:sz w:val="32"/>
          <w:szCs w:val="32"/>
        </w:rPr>
        <w:t>。202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年本部门开支会议费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万元，召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开0次</w:t>
      </w:r>
      <w:r>
        <w:rPr>
          <w:rFonts w:hint="eastAsia" w:asciiTheme="minorEastAsia" w:hAnsiTheme="minorEastAsia" w:eastAsiaTheme="minorEastAsia"/>
          <w:sz w:val="32"/>
          <w:szCs w:val="32"/>
        </w:rPr>
        <w:t>会议，人数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，未</w:t>
      </w:r>
      <w:r>
        <w:rPr>
          <w:rFonts w:hint="eastAsia" w:asciiTheme="minorEastAsia" w:hAnsiTheme="minorEastAsia" w:eastAsiaTheme="minorEastAsia"/>
          <w:sz w:val="32"/>
          <w:szCs w:val="32"/>
        </w:rPr>
        <w:t>举办节庆、晚会、论坛、赛事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等</w:t>
      </w:r>
      <w:r>
        <w:rPr>
          <w:rFonts w:hint="eastAsia" w:asciiTheme="minorEastAsia" w:hAnsiTheme="minorEastAsia" w:eastAsiaTheme="minorEastAsia"/>
          <w:sz w:val="32"/>
          <w:szCs w:val="32"/>
        </w:rPr>
        <w:t>活动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开支0万元。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本部门2021年度政府采购支出总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293.5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96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万元、政府采购工程支出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6.1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191.4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万元，占授予中小企业合同金额的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%；货物采购授予中小企业合同金额占货物支出金额的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%，工程采购授予中小企业合同金额占工程支出金额的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%，服务采购授予中小企业合同金额占服务支出金额的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截至2021年12月31日，本单位共有车辆1辆，其中，主要领导干部用车0辆，机要通信用车0辆、应急保障用车1辆、执法执勤用车0辆、特种专业技术用车0辆、其他用车0辆；单位价值50万元以上通用设备0台（套）；单位价值100万元以上专用设备0台（套）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  <w:lang w:eastAsia="zh-CN"/>
        </w:rPr>
        <w:t>十四、</w:t>
      </w:r>
      <w:r>
        <w:rPr>
          <w:rFonts w:hint="eastAsia" w:hAnsi="黑体"/>
          <w:b/>
          <w:sz w:val="32"/>
          <w:szCs w:val="32"/>
        </w:rPr>
        <w:t>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</w:rPr>
        <w:t>根据预算绩效管理要求，我部门组织对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2021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年度一般公共预算项目支出全面开展绩效自评，其中，一级项目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个，二级项目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个，共涉及资金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97.68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万元，占一般公共预算项目支出总额的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71.21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。组织对</w:t>
      </w:r>
      <w:r>
        <w:rPr>
          <w:rFonts w:ascii="宋体" w:hAnsi="宋体" w:cs="黑体"/>
          <w:color w:val="000000"/>
          <w:kern w:val="0"/>
          <w:sz w:val="32"/>
          <w:szCs w:val="32"/>
        </w:rPr>
        <w:t>2021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年度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无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政府性基金预算项目支出开展绩效自评，共涉及资金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万元，占政府性基金预算项目支出总额的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。组织对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2021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年度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无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国有资本经营预算项目支出开展绩效自评，共涉及资金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万元，占国有资本经营预算项目支出总额的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岳阳市生态环境局岳阳楼分局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等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个项目开展了部门评价，涉及一般公共预算支出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77.68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万元，国有资本经营预算支出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单位项目支出完成情况良好。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</w:rPr>
        <w:t>组织对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岳阳市生态环境局岳阳楼分局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等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个单位开展整体支出绩效评价，涉及一般公共预算支出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705.34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ascii="Calibri" w:hAnsi="Calibri" w:eastAsia="宋体" w:cs="Times New Roman"/>
          <w:sz w:val="32"/>
          <w:szCs w:val="32"/>
        </w:rPr>
        <w:t>绩效管理工作开展顺利，部门决算中项目绩效自评结果为</w:t>
      </w:r>
      <w:r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/>
        </w:rPr>
        <w:t>99</w:t>
      </w:r>
      <w:r>
        <w:rPr>
          <w:rFonts w:hint="eastAsia" w:ascii="Calibri" w:hAnsi="Calibri" w:eastAsia="宋体" w:cs="Times New Roman"/>
          <w:sz w:val="32"/>
          <w:szCs w:val="32"/>
        </w:rPr>
        <w:t>，部门评价项目绩效评价结果为</w:t>
      </w:r>
      <w:r>
        <w:rPr>
          <w:rFonts w:hint="eastAsia" w:ascii="宋体" w:hAnsi="宋体" w:eastAsia="宋体" w:cs="黑体"/>
          <w:color w:val="000000"/>
          <w:kern w:val="0"/>
          <w:sz w:val="32"/>
          <w:szCs w:val="32"/>
          <w:highlight w:val="none"/>
          <w:lang w:val="en-US" w:eastAsia="zh-CN"/>
        </w:rPr>
        <w:t>99</w:t>
      </w:r>
      <w:r>
        <w:rPr>
          <w:rFonts w:hint="eastAsia" w:ascii="Calibri" w:hAnsi="Calibri" w:eastAsia="宋体" w:cs="Times New Roman"/>
          <w:sz w:val="32"/>
          <w:szCs w:val="32"/>
        </w:rPr>
        <w:t>，以部门为主体开展的重点绩效评价结果为</w:t>
      </w:r>
      <w:r>
        <w:rPr>
          <w:rFonts w:hint="eastAsia" w:ascii="Calibri" w:hAnsi="Calibri" w:eastAsia="宋体" w:cs="Times New Roman"/>
          <w:sz w:val="32"/>
          <w:szCs w:val="32"/>
          <w:lang w:eastAsia="zh-CN"/>
        </w:rPr>
        <w:t>良好</w:t>
      </w:r>
      <w:r>
        <w:rPr>
          <w:rFonts w:hint="eastAsia" w:ascii="Calibri" w:hAnsi="Calibri" w:eastAsia="宋体" w:cs="Times New Roman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（2）部门决算中项目绩效自评结果。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污染减排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项目绩效自评综述：根据年初设定的绩效目标，项目绩效自评得分为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96</w:t>
      </w:r>
      <w:r>
        <w:rPr>
          <w:rFonts w:ascii="宋体" w:hAnsi="宋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分。项目全年预算数为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77.68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万元，执行数为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77.68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万元，完成预算的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ascii="宋体" w:hAnsi="宋体" w:cs="黑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。项目绩效目标完成情况：一是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水污染的治理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；二是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污染减排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。发现的主要问题及原因：一是</w:t>
      </w:r>
      <w:r>
        <w:rPr>
          <w:rFonts w:hint="eastAsia" w:ascii="宋体" w:hAnsi="宋体" w:eastAsia="宋体" w:cs="黑体"/>
          <w:color w:val="000000"/>
          <w:kern w:val="0"/>
          <w:sz w:val="32"/>
          <w:szCs w:val="32"/>
          <w:lang w:eastAsia="zh-CN"/>
        </w:rPr>
        <w:t>东风湖水环境综合治理、黑臭水体整治等7项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；二是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排口的规范管理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。下一步改进措施：一是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严格整治黑水、臭水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；二是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严格管理排水口的输出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。</w:t>
      </w:r>
    </w:p>
    <w:p>
      <w:pPr>
        <w:ind w:firstLine="640" w:firstLineChars="200"/>
        <w:rPr>
          <w:rFonts w:hint="eastAsia"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color w:val="000000"/>
          <w:kern w:val="0"/>
          <w:sz w:val="32"/>
          <w:szCs w:val="32"/>
          <w:lang w:eastAsia="zh-CN"/>
        </w:rPr>
        <w:t>污染减排</w:t>
      </w:r>
      <w:r>
        <w:rPr>
          <w:rFonts w:hint="eastAsia" w:ascii="宋体" w:hAnsi="宋体" w:cs="黑体"/>
          <w:color w:val="000000"/>
          <w:kern w:val="0"/>
          <w:sz w:val="32"/>
          <w:szCs w:val="32"/>
        </w:rPr>
        <w:t>项目绩效自评综述：</w:t>
      </w:r>
      <w:r>
        <w:rPr>
          <w:rFonts w:hint="eastAsia" w:ascii="宋体" w:hAnsi="宋体" w:eastAsia="宋体" w:cs="黑体"/>
          <w:color w:val="000000"/>
          <w:kern w:val="0"/>
          <w:sz w:val="32"/>
          <w:szCs w:val="32"/>
          <w:lang w:eastAsia="zh-CN"/>
        </w:rPr>
        <w:t>单位项目绩效自评全面的分析项目明细及完成情况：水环境的管控，群众信访处理的及时性，水环境风险点的治理，黑水臭水的整体治理。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（</w:t>
      </w:r>
      <w:r>
        <w:rPr>
          <w:rFonts w:ascii="宋体" w:hAnsi="宋体" w:cs="黑体"/>
          <w:b/>
          <w:color w:val="000000"/>
          <w:kern w:val="0"/>
          <w:sz w:val="32"/>
          <w:szCs w:val="32"/>
        </w:rPr>
        <w:t>3</w:t>
      </w:r>
      <w:r>
        <w:rPr>
          <w:rFonts w:hint="eastAsia" w:ascii="宋体" w:hAnsi="宋体" w:cs="黑体"/>
          <w:b/>
          <w:color w:val="000000"/>
          <w:kern w:val="0"/>
          <w:sz w:val="32"/>
          <w:szCs w:val="32"/>
        </w:rPr>
        <w:t>）部门评价项目绩效评价结果。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绩效管理工作开展顺利，部门决算中项目绩效自评结果为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96</w:t>
      </w:r>
      <w:r>
        <w:rPr>
          <w:rFonts w:hint="eastAsia"/>
          <w:sz w:val="32"/>
          <w:szCs w:val="32"/>
        </w:rPr>
        <w:t>，部门评价项目绩效评价结果为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99</w:t>
      </w:r>
      <w:r>
        <w:rPr>
          <w:rFonts w:hint="eastAsia"/>
          <w:sz w:val="32"/>
          <w:szCs w:val="32"/>
        </w:rPr>
        <w:t>，以部门为主体开展的重点绩效评价结果为</w:t>
      </w:r>
      <w:r>
        <w:rPr>
          <w:rFonts w:hint="eastAsia" w:ascii="宋体" w:hAnsi="宋体" w:cs="黑体"/>
          <w:color w:val="000000"/>
          <w:kern w:val="0"/>
          <w:sz w:val="32"/>
          <w:szCs w:val="32"/>
          <w:lang w:val="en-US" w:eastAsia="zh-CN"/>
        </w:rPr>
        <w:t>99</w:t>
      </w:r>
      <w:r>
        <w:rPr>
          <w:rFonts w:hint="eastAsia"/>
          <w:sz w:val="32"/>
          <w:szCs w:val="32"/>
        </w:rPr>
        <w:t>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预算绩效管理开展情况、绩效目标和绩效评价报告等，一并作为附件公开。</w:t>
      </w:r>
    </w:p>
    <w:p>
      <w:pPr>
        <w:pStyle w:val="9"/>
        <w:rPr>
          <w:rFonts w:hint="eastAsia" w:hAnsi="黑体"/>
          <w:b/>
          <w:sz w:val="32"/>
          <w:szCs w:val="32"/>
        </w:rPr>
      </w:pPr>
      <w:bookmarkStart w:id="0" w:name="_GoBack"/>
      <w:bookmarkEnd w:id="0"/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rFonts w:hint="eastAsia"/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 w:eastAsiaTheme="minorEastAsia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1、2021年部门决算公开表格</w:t>
      </w:r>
    </w:p>
    <w:p>
      <w:pPr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2021年度部门整体支出绩效评价报告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iMGRiMmI3MWRhOGM2ZjEyZDBjMThkZTk4MjU3NmIifQ=="/>
  </w:docVars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2E52D14"/>
    <w:rsid w:val="05633A58"/>
    <w:rsid w:val="06315D37"/>
    <w:rsid w:val="06B411F0"/>
    <w:rsid w:val="087403E0"/>
    <w:rsid w:val="0BE56081"/>
    <w:rsid w:val="0D1E4FDC"/>
    <w:rsid w:val="120B2D0F"/>
    <w:rsid w:val="13BE003E"/>
    <w:rsid w:val="17A87124"/>
    <w:rsid w:val="22DD73A6"/>
    <w:rsid w:val="23DB48C1"/>
    <w:rsid w:val="27DB542D"/>
    <w:rsid w:val="36042F67"/>
    <w:rsid w:val="362A4A6B"/>
    <w:rsid w:val="366364DD"/>
    <w:rsid w:val="36A14A70"/>
    <w:rsid w:val="370B6762"/>
    <w:rsid w:val="38AA4F8A"/>
    <w:rsid w:val="441E0E69"/>
    <w:rsid w:val="45F9639D"/>
    <w:rsid w:val="48ED43E7"/>
    <w:rsid w:val="4A8A27C0"/>
    <w:rsid w:val="4D251BB7"/>
    <w:rsid w:val="55042214"/>
    <w:rsid w:val="5640747F"/>
    <w:rsid w:val="5C693B6B"/>
    <w:rsid w:val="5E567CCE"/>
    <w:rsid w:val="60771A5A"/>
    <w:rsid w:val="60A907EA"/>
    <w:rsid w:val="6145544E"/>
    <w:rsid w:val="6F2258E1"/>
    <w:rsid w:val="701D04BE"/>
    <w:rsid w:val="79B72755"/>
    <w:rsid w:val="7A6B0398"/>
    <w:rsid w:val="7B587E38"/>
    <w:rsid w:val="7E1266A0"/>
    <w:rsid w:val="7F37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0904-B2FB-4FE3-894F-42F14B17BC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4654</Words>
  <Characters>5131</Characters>
  <Lines>69</Lines>
  <Paragraphs>19</Paragraphs>
  <TotalTime>0</TotalTime>
  <ScaleCrop>false</ScaleCrop>
  <LinksUpToDate>false</LinksUpToDate>
  <CharactersWithSpaces>5148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2020-07-02T02:32:00Z</dcterms:created>
  <dc:creator>李航 null</dc:creator>
  <cp:lastModifiedBy>红蜻蜓</cp:lastModifiedBy>
  <cp:lastPrinted>2022-07-27T12:55:00Z</cp:lastPrinted>
  <dcterms:modified xsi:type="dcterms:W3CDTF">2023-09-23T09:23:12Z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9C189FF1F42A49BFA25C15F84FA16F64</vt:lpwstr>
  </property>
</Properties>
</file>